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7" w:rsidRDefault="005C5697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p w:rsidR="00CB578E" w:rsidRPr="008233FE" w:rsidRDefault="00CB578E" w:rsidP="00E55B32">
      <w:pPr>
        <w:jc w:val="center"/>
        <w:rPr>
          <w:sz w:val="16"/>
          <w:szCs w:val="16"/>
        </w:rPr>
      </w:pPr>
    </w:p>
    <w:p w:rsidR="00CB578E" w:rsidRPr="00AB3035" w:rsidRDefault="00CB578E" w:rsidP="00CB578E">
      <w:pPr>
        <w:ind w:left="5387"/>
        <w:jc w:val="center"/>
        <w:rPr>
          <w:sz w:val="16"/>
          <w:szCs w:val="16"/>
        </w:rPr>
      </w:pPr>
    </w:p>
    <w:p w:rsidR="00CB578E" w:rsidRPr="00AB3035" w:rsidRDefault="00CB578E" w:rsidP="00E55B32">
      <w:pPr>
        <w:jc w:val="center"/>
        <w:rPr>
          <w:sz w:val="16"/>
          <w:szCs w:val="16"/>
        </w:rPr>
      </w:pPr>
    </w:p>
    <w:p w:rsidR="00AB3035" w:rsidRPr="00102E2D" w:rsidRDefault="00AB3035" w:rsidP="00AB3035">
      <w:pPr>
        <w:ind w:left="4956"/>
        <w:jc w:val="both"/>
        <w:rPr>
          <w:b/>
          <w:sz w:val="24"/>
          <w:szCs w:val="24"/>
        </w:rPr>
      </w:pPr>
      <w:r w:rsidRPr="00102E2D">
        <w:rPr>
          <w:b/>
          <w:sz w:val="24"/>
          <w:szCs w:val="24"/>
        </w:rPr>
        <w:t>ЗАТВЕРДЖЕНО</w:t>
      </w:r>
    </w:p>
    <w:p w:rsidR="00AB3035" w:rsidRPr="00102E2D" w:rsidRDefault="00AB3035" w:rsidP="00AB3035">
      <w:pPr>
        <w:ind w:left="4956"/>
        <w:rPr>
          <w:sz w:val="24"/>
          <w:szCs w:val="24"/>
        </w:rPr>
      </w:pPr>
      <w:r w:rsidRPr="00102E2D">
        <w:rPr>
          <w:sz w:val="24"/>
          <w:szCs w:val="24"/>
        </w:rPr>
        <w:t xml:space="preserve">Наказ Департаменту соціальної та молодіжної політики обласної </w:t>
      </w:r>
    </w:p>
    <w:p w:rsidR="00AB3035" w:rsidRPr="00102E2D" w:rsidRDefault="00AB3035" w:rsidP="00AB3035">
      <w:pPr>
        <w:ind w:left="4956"/>
        <w:jc w:val="both"/>
        <w:rPr>
          <w:sz w:val="24"/>
          <w:szCs w:val="24"/>
        </w:rPr>
      </w:pPr>
      <w:r w:rsidRPr="00102E2D">
        <w:rPr>
          <w:sz w:val="24"/>
          <w:szCs w:val="24"/>
        </w:rPr>
        <w:t>військової адміністрації</w:t>
      </w:r>
    </w:p>
    <w:p w:rsidR="008233FE" w:rsidRPr="00102E2D" w:rsidRDefault="000F04AD" w:rsidP="00AB3035">
      <w:pPr>
        <w:ind w:left="4956"/>
        <w:rPr>
          <w:sz w:val="24"/>
          <w:szCs w:val="24"/>
        </w:rPr>
      </w:pPr>
      <w:r>
        <w:rPr>
          <w:sz w:val="24"/>
          <w:szCs w:val="24"/>
        </w:rPr>
        <w:t>від «</w:t>
      </w:r>
      <w:r w:rsidR="00A941EC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A941EC">
        <w:rPr>
          <w:sz w:val="24"/>
          <w:szCs w:val="24"/>
        </w:rPr>
        <w:t>січня</w:t>
      </w:r>
      <w:r>
        <w:rPr>
          <w:sz w:val="24"/>
          <w:szCs w:val="24"/>
        </w:rPr>
        <w:t xml:space="preserve">2026 р. № </w:t>
      </w:r>
      <w:r w:rsidR="00A941EC">
        <w:rPr>
          <w:sz w:val="24"/>
          <w:szCs w:val="24"/>
        </w:rPr>
        <w:t>1</w:t>
      </w:r>
      <w:bookmarkStart w:id="0" w:name="_GoBack"/>
      <w:bookmarkEnd w:id="0"/>
    </w:p>
    <w:p w:rsidR="00AB3035" w:rsidRDefault="00AB3035" w:rsidP="00AB3035">
      <w:pPr>
        <w:ind w:left="5664"/>
        <w:jc w:val="center"/>
      </w:pPr>
    </w:p>
    <w:p w:rsidR="00AB3035" w:rsidRDefault="00AB3035" w:rsidP="00AB3035">
      <w:pPr>
        <w:ind w:left="5664"/>
        <w:jc w:val="center"/>
        <w:rPr>
          <w:b/>
          <w:sz w:val="24"/>
          <w:szCs w:val="24"/>
        </w:rPr>
      </w:pPr>
    </w:p>
    <w:p w:rsidR="005C5697" w:rsidRDefault="005C5697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>ІНФОРМАЦІЙНА КАРТКА АДМІНІСТРАТИВНОЇ ПОСЛУГИ</w:t>
      </w:r>
    </w:p>
    <w:p w:rsidR="005C5697" w:rsidRPr="0027635A" w:rsidRDefault="005C5697" w:rsidP="00E55B32">
      <w:pPr>
        <w:jc w:val="center"/>
        <w:rPr>
          <w:b/>
          <w:sz w:val="24"/>
          <w:szCs w:val="24"/>
        </w:rPr>
      </w:pPr>
    </w:p>
    <w:p w:rsidR="00743202" w:rsidRDefault="00743202" w:rsidP="00523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Прийняття рішення про надання соціальної послуги зі стаціонарного догляду</w:t>
      </w:r>
    </w:p>
    <w:p w:rsidR="005230A3" w:rsidRPr="00BC1F78" w:rsidRDefault="005230A3" w:rsidP="00523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uk-UA"/>
        </w:rPr>
        <w:t>Видача путівки на поселення до</w:t>
      </w:r>
      <w:r w:rsidRPr="00BC1F78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</w:rPr>
        <w:t>КУ «</w:t>
      </w:r>
      <w:r w:rsidRPr="00BC1F78">
        <w:rPr>
          <w:b/>
          <w:sz w:val="24"/>
          <w:szCs w:val="24"/>
        </w:rPr>
        <w:t>Обласний пансіонат для осіб з інвалідністю та осіб похилого віку</w:t>
      </w:r>
      <w:r>
        <w:rPr>
          <w:b/>
          <w:sz w:val="24"/>
          <w:szCs w:val="24"/>
        </w:rPr>
        <w:t xml:space="preserve">», </w:t>
      </w:r>
      <w:proofErr w:type="spellStart"/>
      <w:r w:rsidRPr="00BC1F78">
        <w:rPr>
          <w:b/>
          <w:sz w:val="24"/>
          <w:szCs w:val="24"/>
        </w:rPr>
        <w:t>Тиврівськ</w:t>
      </w:r>
      <w:r>
        <w:rPr>
          <w:b/>
          <w:sz w:val="24"/>
          <w:szCs w:val="24"/>
        </w:rPr>
        <w:t>ого</w:t>
      </w:r>
      <w:proofErr w:type="spellEnd"/>
      <w:r w:rsidRPr="00BC1F78">
        <w:rPr>
          <w:b/>
          <w:sz w:val="24"/>
          <w:szCs w:val="24"/>
        </w:rPr>
        <w:t xml:space="preserve"> обласн</w:t>
      </w:r>
      <w:r>
        <w:rPr>
          <w:b/>
          <w:sz w:val="24"/>
          <w:szCs w:val="24"/>
        </w:rPr>
        <w:t>ого будин</w:t>
      </w:r>
      <w:r w:rsidRPr="00BC1F78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 w:rsidR="008C05B7">
        <w:rPr>
          <w:b/>
          <w:sz w:val="24"/>
          <w:szCs w:val="24"/>
        </w:rPr>
        <w:t>-</w:t>
      </w:r>
      <w:r w:rsidRPr="00BC1F78">
        <w:rPr>
          <w:b/>
          <w:sz w:val="24"/>
          <w:szCs w:val="24"/>
        </w:rPr>
        <w:t>інтернат</w:t>
      </w:r>
      <w:r>
        <w:rPr>
          <w:b/>
          <w:sz w:val="24"/>
          <w:szCs w:val="24"/>
        </w:rPr>
        <w:t>у</w:t>
      </w:r>
      <w:r w:rsidRPr="00BC1F78">
        <w:rPr>
          <w:b/>
          <w:sz w:val="24"/>
          <w:szCs w:val="24"/>
        </w:rPr>
        <w:t xml:space="preserve"> для осіб з інва</w:t>
      </w:r>
      <w:r>
        <w:rPr>
          <w:b/>
          <w:sz w:val="24"/>
          <w:szCs w:val="24"/>
        </w:rPr>
        <w:t>лідністю та осіб похилого віку</w:t>
      </w:r>
    </w:p>
    <w:p w:rsidR="005C5697" w:rsidRPr="00E3191A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highlight w:val="yellow"/>
          <w:lang w:eastAsia="uk-UA"/>
        </w:rPr>
      </w:pPr>
    </w:p>
    <w:p w:rsidR="00102E2D" w:rsidRDefault="005C5697" w:rsidP="00102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5C5697" w:rsidRPr="00E3191A" w:rsidRDefault="005C5697" w:rsidP="00102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 w:rsidR="00102E2D" w:rsidRPr="00102E2D">
        <w:rPr>
          <w:b/>
          <w:sz w:val="24"/>
          <w:szCs w:val="24"/>
          <w:lang w:eastAsia="uk-UA"/>
        </w:rPr>
        <w:t>обласної військової адміністрації</w:t>
      </w:r>
    </w:p>
    <w:p w:rsidR="005C5697" w:rsidRPr="00E3191A" w:rsidRDefault="005C5697" w:rsidP="00E55B32">
      <w:pPr>
        <w:jc w:val="center"/>
        <w:rPr>
          <w:b/>
          <w:sz w:val="24"/>
          <w:szCs w:val="24"/>
          <w:highlight w:val="yellow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56"/>
        <w:gridCol w:w="155"/>
        <w:gridCol w:w="5764"/>
      </w:tblGrid>
      <w:tr w:rsidR="005C5697" w:rsidRPr="00E3191A" w:rsidTr="00B41B31">
        <w:trPr>
          <w:trHeight w:val="374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E3191A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C5697" w:rsidRPr="00E3191A" w:rsidTr="004B73D4">
        <w:trPr>
          <w:trHeight w:val="441"/>
          <w:jc w:val="center"/>
        </w:trPr>
        <w:tc>
          <w:tcPr>
            <w:tcW w:w="3652" w:type="dxa"/>
            <w:gridSpan w:val="2"/>
            <w:vAlign w:val="center"/>
          </w:tcPr>
          <w:p w:rsidR="005C5697" w:rsidRPr="00E3191A" w:rsidRDefault="005C5697" w:rsidP="00E55B32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19" w:type="dxa"/>
            <w:gridSpan w:val="2"/>
            <w:vAlign w:val="center"/>
          </w:tcPr>
          <w:p w:rsidR="005C5697" w:rsidRPr="00E3191A" w:rsidRDefault="0004790F" w:rsidP="0046354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Центр адміністративних послуг «Прозорий офіс» Вінницької міської ради</w:t>
            </w:r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Сільської, селищної, міської ради відповідної ТГ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CE4EA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CE4EA1" w:rsidRPr="00E3191A" w:rsidRDefault="002F1E14" w:rsidP="00CE4EA1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CE4EA1" w:rsidRPr="00E3191A" w:rsidRDefault="00CE4EA1" w:rsidP="00CE4EA1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м</w:t>
            </w:r>
            <w:hyperlink r:id="rId7" w:history="1">
              <w:r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CE4EA1" w:rsidRPr="00E3191A" w:rsidRDefault="002F1E14" w:rsidP="00CE4EA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pacing w:val="-1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E3191A">
              <w:rPr>
                <w:spacing w:val="-1"/>
                <w:sz w:val="24"/>
                <w:szCs w:val="24"/>
              </w:rPr>
              <w:t>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CE4EA1" w:rsidRPr="00E3191A" w:rsidRDefault="00CE4EA1" w:rsidP="00E03E80">
            <w:pPr>
              <w:ind w:right="-68"/>
              <w:jc w:val="center"/>
              <w:rPr>
                <w:b/>
                <w:sz w:val="24"/>
                <w:szCs w:val="24"/>
                <w:lang w:eastAsia="en-US"/>
              </w:rPr>
            </w:pPr>
            <w:r w:rsidRPr="00E3191A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CE4EA1" w:rsidRPr="00E3191A" w:rsidTr="004B73D4">
        <w:trPr>
          <w:trHeight w:val="1261"/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Телефон/факс (довідки), адреса</w:t>
            </w:r>
          </w:p>
          <w:p w:rsidR="00CE4EA1" w:rsidRPr="00E3191A" w:rsidRDefault="00CE4EA1" w:rsidP="00CE4EA1">
            <w:pPr>
              <w:rPr>
                <w:spacing w:val="-2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  <w:vAlign w:val="center"/>
          </w:tcPr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iCs/>
                <w:sz w:val="24"/>
                <w:szCs w:val="24"/>
              </w:rPr>
              <w:t>Центральне відділення: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iCs/>
                <w:sz w:val="24"/>
                <w:szCs w:val="24"/>
              </w:rPr>
              <w:t>(</w:t>
            </w:r>
            <w:r w:rsidRPr="00E3191A">
              <w:rPr>
                <w:sz w:val="24"/>
                <w:szCs w:val="24"/>
              </w:rPr>
              <w:t>0432)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50; (067)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61; (073)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61;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«Вишенька»: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34; (067)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63; (073)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63;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«Замостя»: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36; (067)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64; (073)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64;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«Старе місто»: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35; (067)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> 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65; (073)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 w:rsidR="00743202"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65;</w:t>
            </w:r>
          </w:p>
          <w:p w:rsidR="00CE4EA1" w:rsidRPr="00E3191A" w:rsidRDefault="00CE4EA1" w:rsidP="00E03E80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 xml:space="preserve">Електронна адреса: </w:t>
            </w:r>
            <w:hyperlink r:id="rId9" w:history="1">
              <w:r w:rsidRPr="00E3191A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Pr="00E3191A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Pr="00E3191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E3191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5C5697" w:rsidRPr="00E3191A" w:rsidTr="00B41B31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C5697" w:rsidRPr="00E3191A" w:rsidTr="00B41B31">
        <w:trPr>
          <w:trHeight w:val="650"/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764" w:type="dxa"/>
          </w:tcPr>
          <w:p w:rsidR="00A066F0" w:rsidRPr="00D626A8" w:rsidRDefault="00A066F0" w:rsidP="00A066F0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D626A8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A066F0" w:rsidRPr="00D626A8" w:rsidRDefault="00A066F0" w:rsidP="00A066F0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D626A8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786A9E" w:rsidRDefault="00786A9E" w:rsidP="00786A9E">
            <w:pPr>
              <w:jc w:val="both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 xml:space="preserve">Закон України </w:t>
            </w:r>
            <w:r w:rsidRPr="003D64E6">
              <w:rPr>
                <w:iCs/>
                <w:sz w:val="24"/>
                <w:szCs w:val="24"/>
              </w:rPr>
              <w:t>«Про соціальні послуги»</w:t>
            </w:r>
            <w:r w:rsidRPr="003D64E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</w:p>
          <w:p w:rsidR="005C5697" w:rsidRPr="00E3191A" w:rsidRDefault="00786A9E" w:rsidP="00786A9E">
            <w:pPr>
              <w:spacing w:before="60" w:after="60"/>
              <w:jc w:val="both"/>
              <w:rPr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iCs/>
                <w:sz w:val="24"/>
                <w:szCs w:val="24"/>
              </w:rPr>
              <w:t xml:space="preserve">Закон України </w:t>
            </w:r>
            <w:r w:rsidRPr="003D64E6">
              <w:rPr>
                <w:sz w:val="24"/>
                <w:szCs w:val="24"/>
              </w:rPr>
              <w:t>«Про основні засади соціального захисту ветеранів праці та інших громадян похилого віку в Україні».</w:t>
            </w:r>
          </w:p>
        </w:tc>
      </w:tr>
      <w:tr w:rsidR="005C5697" w:rsidRPr="00E3191A" w:rsidTr="00B41B31">
        <w:trPr>
          <w:trHeight w:val="829"/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764" w:type="dxa"/>
          </w:tcPr>
          <w:p w:rsidR="00786A9E" w:rsidRDefault="000F04AD" w:rsidP="00786A9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Постанова </w:t>
            </w:r>
            <w:r w:rsidRPr="003D64E6">
              <w:rPr>
                <w:iCs/>
                <w:sz w:val="24"/>
                <w:szCs w:val="24"/>
              </w:rPr>
              <w:t xml:space="preserve"> К</w:t>
            </w:r>
            <w:r>
              <w:rPr>
                <w:iCs/>
                <w:sz w:val="24"/>
                <w:szCs w:val="24"/>
              </w:rPr>
              <w:t>абінету Міністрів України від 01.10.2025</w:t>
            </w:r>
            <w:r w:rsidRPr="003D64E6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1226</w:t>
            </w:r>
            <w:r w:rsidRPr="003D64E6">
              <w:rPr>
                <w:iCs/>
                <w:sz w:val="24"/>
                <w:szCs w:val="24"/>
              </w:rPr>
              <w:t xml:space="preserve"> «Деякі питання надання адміністративних послуг органів виконавчої влади через центри надання адміністративних послуг»</w:t>
            </w:r>
            <w:r>
              <w:rPr>
                <w:iCs/>
                <w:sz w:val="24"/>
                <w:szCs w:val="24"/>
              </w:rPr>
              <w:t>,</w:t>
            </w:r>
          </w:p>
          <w:p w:rsidR="005C5697" w:rsidRPr="00E3191A" w:rsidRDefault="00786A9E" w:rsidP="00786A9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Постанова</w:t>
            </w:r>
            <w:r w:rsidRPr="003D64E6">
              <w:rPr>
                <w:iCs/>
                <w:sz w:val="24"/>
                <w:szCs w:val="24"/>
              </w:rPr>
              <w:t xml:space="preserve"> Кабінету Міністрів України від </w:t>
            </w:r>
            <w:r>
              <w:rPr>
                <w:iCs/>
                <w:sz w:val="24"/>
                <w:szCs w:val="24"/>
              </w:rPr>
              <w:t>02</w:t>
            </w:r>
            <w:r w:rsidRPr="003D64E6">
              <w:rPr>
                <w:iCs/>
                <w:sz w:val="24"/>
                <w:szCs w:val="24"/>
              </w:rPr>
              <w:t>.0</w:t>
            </w:r>
            <w:r>
              <w:rPr>
                <w:iCs/>
                <w:sz w:val="24"/>
                <w:szCs w:val="24"/>
              </w:rPr>
              <w:t>9</w:t>
            </w:r>
            <w:r w:rsidRPr="003D64E6">
              <w:rPr>
                <w:iCs/>
                <w:sz w:val="24"/>
                <w:szCs w:val="24"/>
              </w:rPr>
              <w:t>.20</w:t>
            </w:r>
            <w:r>
              <w:rPr>
                <w:iCs/>
                <w:sz w:val="24"/>
                <w:szCs w:val="24"/>
              </w:rPr>
              <w:t>20</w:t>
            </w:r>
            <w:r w:rsidRPr="003D64E6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772 «Про затвердження типового положення про будинок-інтернат для громадян похилого віку та осіб з інвалідністю», </w:t>
            </w:r>
            <w:r w:rsidR="007F613A" w:rsidRPr="007F613A">
              <w:rPr>
                <w:bCs/>
                <w:iCs/>
                <w:sz w:val="24"/>
                <w:szCs w:val="24"/>
              </w:rPr>
              <w:t>Постанова Кабінету Міністрів України від 14.01.2026 № 64 «Деякі питання організації надання соціальних послуг»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764" w:type="dxa"/>
          </w:tcPr>
          <w:p w:rsidR="005C5697" w:rsidRPr="00E3191A" w:rsidRDefault="00786A9E" w:rsidP="00786A9E">
            <w:pPr>
              <w:jc w:val="both"/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5C7853">
              <w:rPr>
                <w:iCs/>
                <w:color w:val="000000" w:themeColor="text1"/>
                <w:sz w:val="24"/>
                <w:szCs w:val="24"/>
              </w:rPr>
              <w:t>Наказ Міністерства соціальної політики України від 29.02.2016 № 198 «</w:t>
            </w:r>
            <w:r w:rsidRPr="005C7853">
              <w:rPr>
                <w:bCs/>
                <w:color w:val="000000" w:themeColor="text1"/>
                <w:sz w:val="24"/>
                <w:szCs w:val="32"/>
                <w:shd w:val="clear" w:color="auto" w:fill="FFFFFF"/>
              </w:rPr>
              <w:t>Про затвердження Державного стандарту стаціонарного догляду за особами, які втратили здатність до самообслуговування чи не набули такої здатності»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4" w:type="dxa"/>
          </w:tcPr>
          <w:p w:rsidR="000F04AD" w:rsidRPr="00936906" w:rsidRDefault="000F04AD" w:rsidP="000F04AD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936906">
              <w:rPr>
                <w:sz w:val="24"/>
                <w:szCs w:val="24"/>
              </w:rPr>
              <w:t>Розпорядження Вінницької облдержадміністрації:</w:t>
            </w:r>
          </w:p>
          <w:p w:rsidR="005C5697" w:rsidRPr="00786A9E" w:rsidRDefault="000F04AD" w:rsidP="000F04AD">
            <w:pPr>
              <w:tabs>
                <w:tab w:val="left" w:pos="441"/>
              </w:tabs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від 31.12.2025 року № 138-р </w:t>
            </w:r>
            <w:r w:rsidRPr="00684261">
              <w:rPr>
                <w:sz w:val="24"/>
                <w:szCs w:val="24"/>
              </w:rPr>
              <w:t>«Деякі питання надання адміністративних послуг</w:t>
            </w:r>
            <w:r>
              <w:rPr>
                <w:sz w:val="24"/>
                <w:szCs w:val="24"/>
              </w:rPr>
              <w:t xml:space="preserve"> обласною військовою адміністрацією та її структурними підрозділами</w:t>
            </w:r>
            <w:r w:rsidRPr="00684261">
              <w:rPr>
                <w:sz w:val="24"/>
                <w:szCs w:val="24"/>
              </w:rPr>
              <w:t>»</w:t>
            </w:r>
          </w:p>
        </w:tc>
      </w:tr>
      <w:tr w:rsidR="005C5697" w:rsidRPr="00E3191A" w:rsidTr="009F5DB8">
        <w:trPr>
          <w:trHeight w:val="277"/>
          <w:jc w:val="center"/>
        </w:trPr>
        <w:tc>
          <w:tcPr>
            <w:tcW w:w="9571" w:type="dxa"/>
            <w:gridSpan w:val="4"/>
            <w:vAlign w:val="center"/>
          </w:tcPr>
          <w:p w:rsidR="005C5697" w:rsidRPr="00786A9E" w:rsidRDefault="005C5697" w:rsidP="00E55B32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86A9E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764" w:type="dxa"/>
          </w:tcPr>
          <w:p w:rsidR="005C5697" w:rsidRPr="00E3191A" w:rsidRDefault="00786A9E" w:rsidP="00786A9E">
            <w:pPr>
              <w:pStyle w:val="rvps2"/>
              <w:rPr>
                <w:highlight w:val="yellow"/>
                <w:lang w:val="uk-UA"/>
              </w:rPr>
            </w:pPr>
            <w:r w:rsidRPr="003D64E6">
              <w:rPr>
                <w:iCs/>
                <w:lang w:val="uk-UA" w:eastAsia="en-US"/>
              </w:rPr>
              <w:t>Потреба осіб з інвалідністю</w:t>
            </w:r>
            <w:r>
              <w:rPr>
                <w:iCs/>
                <w:lang w:val="uk-UA" w:eastAsia="en-US"/>
              </w:rPr>
              <w:t xml:space="preserve"> та осіб похилого віку</w:t>
            </w:r>
            <w:r w:rsidRPr="003D64E6">
              <w:rPr>
                <w:iCs/>
                <w:lang w:val="uk-UA" w:eastAsia="en-US"/>
              </w:rPr>
              <w:t xml:space="preserve"> в сторонньому догляді, побутовому і медичному обслуговуванні.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86A9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86A9E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1" w:type="dxa"/>
            <w:gridSpan w:val="2"/>
          </w:tcPr>
          <w:p w:rsidR="005C5697" w:rsidRPr="00786A9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86A9E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</w:tcPr>
          <w:p w:rsidR="00951C6D" w:rsidRPr="003D64E6" w:rsidRDefault="00951C6D" w:rsidP="00951C6D">
            <w:pPr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3D64E6">
              <w:rPr>
                <w:sz w:val="24"/>
                <w:szCs w:val="24"/>
              </w:rPr>
              <w:t>Особиста заява громадянина похилого віку чи людини з інвалідніст</w:t>
            </w:r>
            <w:r>
              <w:rPr>
                <w:sz w:val="24"/>
                <w:szCs w:val="24"/>
              </w:rPr>
              <w:t xml:space="preserve">ю про його прийняття до будинку-інтернату, </w:t>
            </w:r>
            <w:r w:rsidRPr="003D64E6">
              <w:rPr>
                <w:sz w:val="24"/>
                <w:szCs w:val="24"/>
              </w:rPr>
              <w:t>Обласного пансіон</w:t>
            </w:r>
            <w:r>
              <w:rPr>
                <w:sz w:val="24"/>
                <w:szCs w:val="24"/>
              </w:rPr>
              <w:t>а</w:t>
            </w:r>
            <w:r w:rsidRPr="003D64E6">
              <w:rPr>
                <w:sz w:val="24"/>
                <w:szCs w:val="24"/>
              </w:rPr>
              <w:t>ту (</w:t>
            </w:r>
            <w:r w:rsidRPr="00FA241A">
              <w:rPr>
                <w:sz w:val="24"/>
                <w:szCs w:val="24"/>
                <w:shd w:val="clear" w:color="auto" w:fill="FFFFFF"/>
              </w:rPr>
              <w:t>встановленого зразка</w:t>
            </w:r>
            <w:r>
              <w:rPr>
                <w:sz w:val="24"/>
                <w:szCs w:val="24"/>
                <w:shd w:val="clear" w:color="auto" w:fill="FFFFFF"/>
              </w:rPr>
              <w:t xml:space="preserve"> засвідчена печаткою</w:t>
            </w:r>
            <w:r w:rsidRPr="001203C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ргану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соц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 захисту населення територіальної громади</w:t>
            </w:r>
            <w:r w:rsidRPr="00FA241A">
              <w:rPr>
                <w:sz w:val="24"/>
                <w:szCs w:val="24"/>
                <w:shd w:val="clear" w:color="auto" w:fill="FFFFFF"/>
              </w:rPr>
              <w:t>).</w:t>
            </w:r>
          </w:p>
          <w:p w:rsidR="00951C6D" w:rsidRPr="003D64E6" w:rsidRDefault="00951C6D" w:rsidP="00951C6D">
            <w:pPr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3D64E6">
              <w:rPr>
                <w:sz w:val="24"/>
                <w:szCs w:val="24"/>
              </w:rPr>
              <w:t>Копія паспорта (для особи з інвалідністю, законного представника нед</w:t>
            </w:r>
            <w:r>
              <w:rPr>
                <w:sz w:val="24"/>
                <w:szCs w:val="24"/>
              </w:rPr>
              <w:t xml:space="preserve">ієздатної особи з інвалідністю) </w:t>
            </w:r>
            <w:r w:rsidRPr="003D64E6">
              <w:rPr>
                <w:sz w:val="24"/>
                <w:szCs w:val="24"/>
              </w:rPr>
              <w:t>(за наявності оригіналу).</w:t>
            </w:r>
          </w:p>
          <w:p w:rsidR="00951C6D" w:rsidRDefault="00951C6D" w:rsidP="00951C6D">
            <w:pPr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3D64E6">
              <w:rPr>
                <w:sz w:val="24"/>
                <w:szCs w:val="24"/>
              </w:rPr>
              <w:t>Копія довідки про присвоєння ідентифікаційного номера особі з інвалідністю, законному представнику недієздатної особи з інвалідністю, (за наявності оригіналу).</w:t>
            </w:r>
          </w:p>
          <w:p w:rsidR="00951C6D" w:rsidRPr="00EA076D" w:rsidRDefault="00951C6D" w:rsidP="00951C6D">
            <w:pPr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shd w:val="clear" w:color="auto" w:fill="FFFFFF"/>
              </w:rPr>
              <w:t xml:space="preserve">Клопотання органу </w:t>
            </w:r>
            <w:r>
              <w:rPr>
                <w:sz w:val="24"/>
                <w:szCs w:val="24"/>
                <w:shd w:val="clear" w:color="auto" w:fill="FFFFFF"/>
              </w:rPr>
              <w:t xml:space="preserve">соц. </w:t>
            </w:r>
            <w:r w:rsidRPr="00EA076D">
              <w:rPr>
                <w:sz w:val="24"/>
                <w:szCs w:val="24"/>
                <w:shd w:val="clear" w:color="auto" w:fill="FFFFFF"/>
              </w:rPr>
              <w:t xml:space="preserve">захисту населення </w:t>
            </w:r>
            <w:r w:rsidRPr="00EA076D">
              <w:rPr>
                <w:sz w:val="24"/>
                <w:szCs w:val="24"/>
                <w:shd w:val="clear" w:color="auto" w:fill="FFFFFF"/>
              </w:rPr>
              <w:lastRenderedPageBreak/>
              <w:t xml:space="preserve">територіальної громади (з аргументацією неможливості забезпечення надання послуги в територіальній громаді чи сусідній громаді та про необхідність поселення особи до інтернатного закладу (встановленого зразка). 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Довідка про розмір призначеної пенсії та/або державної соціальної допомоги, виданої органами Пенсійного фонду України та/або структурним підрозділом з питань соціального захисту населення.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Довідка з місця проживання.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Довідка з територіального центру комплектування та соціальної підтримки щодо військового обліку та непридатності до військової служби (для осіб з інвалідністю призивного віку);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Медична картка з висновком лікарсько-консультативної комісії про стан здоров’я, необхідність стороннього догляду та можливість проживання/перебування в інтернаті/пансіонаті за формою, встановленою Міністерством охорони здоров’я України.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Консультаційний висновок лікарів-спеціалістів (</w:t>
            </w:r>
            <w:proofErr w:type="spellStart"/>
            <w:r w:rsidRPr="00951C6D">
              <w:rPr>
                <w:iCs/>
                <w:sz w:val="24"/>
                <w:szCs w:val="24"/>
              </w:rPr>
              <w:t>дермато</w:t>
            </w:r>
            <w:proofErr w:type="spellEnd"/>
            <w:r w:rsidRPr="00951C6D">
              <w:rPr>
                <w:iCs/>
                <w:sz w:val="24"/>
                <w:szCs w:val="24"/>
              </w:rPr>
              <w:t>-венеролога, інфекціоніста, нарколога) за формою, затвердженою Міністерством охорони здоров’я України (ф. 028/о).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 xml:space="preserve">Виписка із медичної карти амбулаторного (стаціонарного) хворого за формою, затвердженою Міністерством охорони здоров’я України (ф. 027/о). </w:t>
            </w:r>
          </w:p>
          <w:p w:rsidR="000C5A4B" w:rsidRPr="005F21F6" w:rsidRDefault="000C5A4B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5F21F6">
              <w:rPr>
                <w:sz w:val="24"/>
                <w:szCs w:val="24"/>
              </w:rPr>
              <w:t>Копія довідки до акта огляду медико-соціальною експертною комісією (за наявності інвалідності) або витягу з рішення експертної команди з оцінювання повсякденного функціонування особи та рекомендації (які є частиною індивідуальної програми реабілітації особи з інвалідністю) у зв’язку з прийнятим рішенням експертною командою з оцінювання повсякденного функціонування особи.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Копія індивідуальної програми реабілітації людини з інвалідності за формою, затвердженою Міністерством охорони здоров’я України                         (за наявності інвалідності)</w:t>
            </w:r>
            <w:r w:rsidRPr="00951C6D">
              <w:rPr>
                <w:sz w:val="24"/>
                <w:szCs w:val="24"/>
              </w:rPr>
              <w:t xml:space="preserve"> (за наявності оригінала).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sz w:val="24"/>
                <w:szCs w:val="24"/>
              </w:rPr>
              <w:t>Пенсійне посвідчення або посвідчення отримувача державної соціальної допомоги (за наявності)</w:t>
            </w:r>
            <w:bookmarkStart w:id="1" w:name="n83"/>
            <w:bookmarkEnd w:id="1"/>
            <w:r w:rsidRPr="00951C6D">
              <w:rPr>
                <w:sz w:val="24"/>
                <w:szCs w:val="24"/>
              </w:rPr>
              <w:t>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sz w:val="24"/>
              </w:rPr>
              <w:t>Акт оцінювання потреб особи/сім’ї у соціальних послугах, складеного соціальним менеджером/ фахівцем із соціальної роботи.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sz w:val="24"/>
                <w:szCs w:val="24"/>
                <w:shd w:val="clear" w:color="auto" w:fill="FFFFFF"/>
              </w:rPr>
            </w:pPr>
            <w:r w:rsidRPr="00951C6D">
              <w:rPr>
                <w:sz w:val="24"/>
                <w:szCs w:val="24"/>
              </w:rPr>
              <w:t>І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нформації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про доходи/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страхові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C6D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951C6D">
              <w:rPr>
                <w:sz w:val="24"/>
                <w:szCs w:val="24"/>
                <w:lang w:val="ru-RU"/>
              </w:rPr>
              <w:t xml:space="preserve"> </w:t>
            </w:r>
            <w:r w:rsidRPr="00951C6D">
              <w:rPr>
                <w:sz w:val="24"/>
                <w:szCs w:val="24"/>
                <w:shd w:val="clear" w:color="auto" w:fill="FFFFFF"/>
              </w:rPr>
              <w:t>(за один квартал, який передує місяцю, що є попереднім до місяця звернення за наданням соціальних послуг).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Три фотокартки розміром 3 х 4 сантиметри.</w:t>
            </w:r>
          </w:p>
          <w:p w:rsidR="00951C6D" w:rsidRPr="00951C6D" w:rsidRDefault="00951C6D" w:rsidP="00951C6D">
            <w:pPr>
              <w:pStyle w:val="ab"/>
              <w:numPr>
                <w:ilvl w:val="0"/>
                <w:numId w:val="23"/>
              </w:numPr>
              <w:tabs>
                <w:tab w:val="left" w:pos="441"/>
              </w:tabs>
              <w:ind w:left="0" w:firstLine="304"/>
              <w:jc w:val="both"/>
              <w:rPr>
                <w:iCs/>
                <w:sz w:val="24"/>
                <w:szCs w:val="24"/>
              </w:rPr>
            </w:pPr>
            <w:r w:rsidRPr="00951C6D">
              <w:rPr>
                <w:iCs/>
                <w:sz w:val="24"/>
                <w:szCs w:val="24"/>
              </w:rPr>
              <w:t>Медичні обстеження:</w:t>
            </w:r>
          </w:p>
          <w:p w:rsidR="00951C6D" w:rsidRPr="00EA07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3D64E6">
              <w:rPr>
                <w:bCs/>
                <w:sz w:val="24"/>
                <w:shd w:val="clear" w:color="auto" w:fill="FFFFFF"/>
              </w:rPr>
              <w:t xml:space="preserve">флюорографічне обстеження (опис та плівка),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будинку-інтернату/пансіонаті. При неможливості </w:t>
            </w:r>
            <w:r w:rsidRPr="00EA076D">
              <w:rPr>
                <w:bCs/>
                <w:sz w:val="24"/>
                <w:shd w:val="clear" w:color="auto" w:fill="FFFFFF"/>
              </w:rPr>
              <w:lastRenderedPageBreak/>
              <w:t xml:space="preserve">зробити флюорографічне обстеження – аналіз мокротиння шляхом дослідження мазка методом бактеріоскопії (за 21 день до </w:t>
            </w:r>
            <w:r>
              <w:rPr>
                <w:bCs/>
                <w:sz w:val="24"/>
                <w:shd w:val="clear" w:color="auto" w:fill="FFFFFF"/>
              </w:rPr>
              <w:t>поселення</w:t>
            </w:r>
            <w:r w:rsidRPr="00EA076D">
              <w:rPr>
                <w:bCs/>
                <w:sz w:val="24"/>
                <w:shd w:val="clear" w:color="auto" w:fill="FFFFFF"/>
              </w:rPr>
              <w:t>);</w:t>
            </w:r>
          </w:p>
          <w:p w:rsidR="00951C6D" w:rsidRPr="003D64E6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аналіз крові на ВІЛ/СНІД (з печаткою лікарні), при позитивному результаті – довідка зі СНІД-центру про можливість перебування</w:t>
            </w:r>
            <w:r w:rsidRPr="003D64E6">
              <w:rPr>
                <w:bCs/>
                <w:sz w:val="24"/>
                <w:shd w:val="clear" w:color="auto" w:fill="FFFFFF"/>
              </w:rPr>
              <w:t xml:space="preserve"> в будинку-інтернаті/пансіонаті;</w:t>
            </w:r>
          </w:p>
          <w:p w:rsidR="00951C6D" w:rsidRPr="00EA07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3D64E6">
              <w:rPr>
                <w:bCs/>
                <w:sz w:val="24"/>
                <w:shd w:val="clear" w:color="auto" w:fill="FFFFFF"/>
              </w:rPr>
              <w:t xml:space="preserve">аналіз крові на РВ </w:t>
            </w:r>
            <w:r>
              <w:rPr>
                <w:bCs/>
                <w:sz w:val="24"/>
                <w:shd w:val="clear" w:color="auto" w:fill="FFFFFF"/>
              </w:rPr>
              <w:t xml:space="preserve">(реакція </w:t>
            </w:r>
            <w:proofErr w:type="spellStart"/>
            <w:r>
              <w:rPr>
                <w:bCs/>
                <w:sz w:val="24"/>
                <w:shd w:val="clear" w:color="auto" w:fill="FFFFFF"/>
              </w:rPr>
              <w:t>Васермана</w:t>
            </w:r>
            <w:proofErr w:type="spellEnd"/>
            <w:r>
              <w:rPr>
                <w:bCs/>
                <w:sz w:val="24"/>
                <w:shd w:val="clear" w:color="auto" w:fill="FFFFFF"/>
              </w:rPr>
              <w:t xml:space="preserve">) </w:t>
            </w:r>
            <w:r w:rsidRPr="003D64E6">
              <w:rPr>
                <w:bCs/>
                <w:sz w:val="24"/>
                <w:shd w:val="clear" w:color="auto" w:fill="FFFFFF"/>
              </w:rPr>
              <w:t xml:space="preserve">(при позитивному висновку – довідку з шкір вендиспансеру про можливість перебування в </w:t>
            </w:r>
            <w:r w:rsidRPr="00EA076D">
              <w:rPr>
                <w:bCs/>
                <w:sz w:val="24"/>
                <w:shd w:val="clear" w:color="auto" w:fill="FFFFFF"/>
              </w:rPr>
              <w:t>будинку-інтернаті/пансіонаті);</w:t>
            </w:r>
          </w:p>
          <w:p w:rsidR="00951C6D" w:rsidRPr="00EA07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аналіз на стафілокок;</w:t>
            </w:r>
          </w:p>
          <w:p w:rsidR="00951C6D" w:rsidRPr="00EA07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аналіз на черевний тиф;</w:t>
            </w:r>
          </w:p>
          <w:p w:rsidR="00951C6D" w:rsidRPr="00EA07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аналіз на паратифи А та В;</w:t>
            </w:r>
          </w:p>
          <w:p w:rsidR="00951C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  <w:tab w:val="left" w:pos="588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мазок на дифтерію та кал на бацилоносії;</w:t>
            </w:r>
          </w:p>
          <w:p w:rsidR="005C5697" w:rsidRPr="00951C6D" w:rsidRDefault="00951C6D" w:rsidP="00951C6D">
            <w:pPr>
              <w:pStyle w:val="a9"/>
              <w:numPr>
                <w:ilvl w:val="1"/>
                <w:numId w:val="23"/>
              </w:numPr>
              <w:tabs>
                <w:tab w:val="left" w:pos="300"/>
                <w:tab w:val="left" w:pos="441"/>
                <w:tab w:val="left" w:pos="588"/>
              </w:tabs>
              <w:spacing w:before="0" w:after="0"/>
              <w:ind w:left="0" w:firstLine="21"/>
              <w:jc w:val="both"/>
              <w:rPr>
                <w:bCs/>
                <w:sz w:val="24"/>
                <w:shd w:val="clear" w:color="auto" w:fill="FFFFFF"/>
              </w:rPr>
            </w:pPr>
            <w:r w:rsidRPr="00EA076D">
              <w:rPr>
                <w:bCs/>
                <w:sz w:val="24"/>
                <w:shd w:val="clear" w:color="auto" w:fill="FFFFFF"/>
              </w:rPr>
              <w:t>аналіз крові на гепатит</w:t>
            </w:r>
            <w:r>
              <w:rPr>
                <w:bCs/>
                <w:sz w:val="24"/>
                <w:shd w:val="clear" w:color="auto" w:fill="FFFFFF"/>
              </w:rPr>
              <w:t xml:space="preserve"> 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</w:tcPr>
          <w:p w:rsidR="005C5697" w:rsidRPr="00035BDE" w:rsidRDefault="00382DDE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035BDE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3191A" w:rsidTr="00B41B31">
        <w:trPr>
          <w:trHeight w:val="591"/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</w:tcPr>
          <w:p w:rsidR="005C5697" w:rsidRPr="00035BDE" w:rsidRDefault="005C5697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035BDE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5C5697" w:rsidRPr="00E3191A" w:rsidTr="00B41B31">
        <w:trPr>
          <w:trHeight w:val="383"/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75" w:type="dxa"/>
            <w:gridSpan w:val="3"/>
            <w:vAlign w:val="center"/>
          </w:tcPr>
          <w:p w:rsidR="005C5697" w:rsidRPr="00035BDE" w:rsidRDefault="005C5697" w:rsidP="00E55B3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35BDE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035BD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</w:tcPr>
          <w:p w:rsidR="005C5697" w:rsidRPr="00035BDE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35BD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</w:tcPr>
          <w:p w:rsidR="005C5697" w:rsidRPr="00035BDE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35BD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764" w:type="dxa"/>
          </w:tcPr>
          <w:p w:rsidR="005C5697" w:rsidRPr="00035BDE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35BD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764" w:type="dxa"/>
          </w:tcPr>
          <w:p w:rsidR="00035BDE" w:rsidRPr="00035BDE" w:rsidRDefault="00035BDE" w:rsidP="00035BD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 w:firstLine="36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35BDE">
              <w:rPr>
                <w:color w:val="000000"/>
                <w:sz w:val="24"/>
                <w:szCs w:val="24"/>
                <w:lang w:eastAsia="uk-UA"/>
              </w:rPr>
              <w:t xml:space="preserve">Для осіб, які досягли пенсійного віку, встановленого </w:t>
            </w:r>
            <w:proofErr w:type="spellStart"/>
            <w:r w:rsidRPr="00035BDE">
              <w:rPr>
                <w:color w:val="000000"/>
                <w:sz w:val="24"/>
                <w:szCs w:val="24"/>
                <w:lang w:eastAsia="uk-UA"/>
              </w:rPr>
              <w:t>статею</w:t>
            </w:r>
            <w:proofErr w:type="spellEnd"/>
            <w:r w:rsidRPr="00035BDE">
              <w:rPr>
                <w:color w:val="000000"/>
                <w:sz w:val="24"/>
                <w:szCs w:val="24"/>
                <w:lang w:eastAsia="uk-UA"/>
              </w:rPr>
              <w:t xml:space="preserve"> 26 Закону України «Про загальнообов’язкове державне пенсійне страхування», а також осіб, яким до досягнення зазначеного пенсійного віку залишилося не більше як півтора року та осіб з інвалідністю у віці більше 18 років, які за станом здоров’я потребують стороннього догляду, не пізніше 13 днів після надходження заяви зі всіма необхідними документами.</w:t>
            </w:r>
          </w:p>
          <w:p w:rsidR="005C5697" w:rsidRPr="00035BDE" w:rsidRDefault="00035BDE" w:rsidP="00035BDE">
            <w:pPr>
              <w:numPr>
                <w:ilvl w:val="0"/>
                <w:numId w:val="24"/>
              </w:numPr>
              <w:tabs>
                <w:tab w:val="left" w:pos="403"/>
              </w:tabs>
              <w:ind w:left="0" w:firstLine="360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035BDE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Для осіб, які мають працездатних дітей та родичів, зобов’язаних відповідно до Сімейного кодексу України їх утримувати, якщо вони з об’єктивних причин не можуть цього робити, приймається рішення Комісії обласної державної </w:t>
            </w:r>
            <w:r w:rsidR="00ED2B6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адміністрації, </w:t>
            </w:r>
            <w:r w:rsidRPr="00035BDE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про звільнення особи від плати за соціальну послугу, але не пізніше 45 днів після надходження заяви зі всіма необхідними документами.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035BDE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5BDE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1" w:type="dxa"/>
            <w:gridSpan w:val="2"/>
          </w:tcPr>
          <w:p w:rsidR="005C5697" w:rsidRPr="00035BDE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35BDE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4" w:type="dxa"/>
          </w:tcPr>
          <w:p w:rsidR="00035BDE" w:rsidRPr="003D64E6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неповного пакета документів або не повної інформації, необхідної для отримання послуги.</w:t>
            </w:r>
          </w:p>
          <w:p w:rsidR="00035BDE" w:rsidRPr="003D64E6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Виявлення в документах недостовірних відомостей.</w:t>
            </w:r>
          </w:p>
          <w:p w:rsidR="00035BDE" w:rsidRPr="003D64E6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місця в будинку-інтернаті/пансіонаті (черга).</w:t>
            </w:r>
          </w:p>
          <w:p w:rsidR="00035BDE" w:rsidRPr="00076502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Медичні протипоказання для направлення особи до інтернату/пансіонату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035BDE" w:rsidRPr="00076502" w:rsidRDefault="00035BDE" w:rsidP="00035BDE">
            <w:pPr>
              <w:pStyle w:val="HTML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</w:pPr>
            <w:r w:rsidRPr="00076502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– психічні розлади (за винятком невротичних станів у разі хронічних неінфекційних захворювань; легкої розумової відсталості без поведінкових порушень; </w:t>
            </w:r>
            <w:proofErr w:type="spellStart"/>
            <w:r w:rsidRPr="00076502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інтелектуально-мнестичних</w:t>
            </w:r>
            <w:proofErr w:type="spellEnd"/>
            <w:r w:rsidRPr="00076502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розладів і судомних синдромів різної етіології з нечастими (раз на два - три місяці) нападами, без слабоумства та виражених змін особистості);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легеневий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туберкульоз</w:t>
            </w:r>
            <w:proofErr w:type="spellEnd"/>
            <w:r w:rsidRPr="00076502">
              <w:t xml:space="preserve"> з </w:t>
            </w:r>
            <w:proofErr w:type="spellStart"/>
            <w:r w:rsidRPr="00076502">
              <w:t>позитивним</w:t>
            </w:r>
            <w:proofErr w:type="spellEnd"/>
            <w:r w:rsidRPr="00076502">
              <w:t xml:space="preserve"> результатом </w:t>
            </w:r>
            <w:proofErr w:type="spellStart"/>
            <w:r w:rsidRPr="00076502">
              <w:t>дослідження</w:t>
            </w:r>
            <w:proofErr w:type="spellEnd"/>
            <w:r w:rsidRPr="00076502">
              <w:t xml:space="preserve"> мазка </w:t>
            </w:r>
            <w:proofErr w:type="spellStart"/>
            <w:r w:rsidRPr="00076502">
              <w:t>мокротиння</w:t>
            </w:r>
            <w:proofErr w:type="spellEnd"/>
            <w:r w:rsidRPr="00076502">
              <w:t xml:space="preserve"> методом </w:t>
            </w:r>
            <w:proofErr w:type="spellStart"/>
            <w:r w:rsidRPr="00076502">
              <w:t>бактеріоскопії</w:t>
            </w:r>
            <w:proofErr w:type="spellEnd"/>
            <w:r w:rsidRPr="00076502">
              <w:t>;</w:t>
            </w:r>
            <w:r w:rsidRPr="00076502">
              <w:rPr>
                <w:lang w:val="uk-UA"/>
              </w:rPr>
              <w:t xml:space="preserve"> </w:t>
            </w:r>
            <w:bookmarkStart w:id="2" w:name="n150"/>
            <w:bookmarkEnd w:id="2"/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грибкові</w:t>
            </w:r>
            <w:proofErr w:type="spellEnd"/>
            <w:r w:rsidRPr="00076502">
              <w:t xml:space="preserve"> та </w:t>
            </w:r>
            <w:proofErr w:type="spellStart"/>
            <w:r w:rsidRPr="00076502">
              <w:t>паразитарні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хвороби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шкіри</w:t>
            </w:r>
            <w:proofErr w:type="spellEnd"/>
            <w:r w:rsidRPr="00076502">
              <w:t xml:space="preserve"> і </w:t>
            </w:r>
            <w:proofErr w:type="spellStart"/>
            <w:r w:rsidRPr="00076502">
              <w:t>волосся</w:t>
            </w:r>
            <w:proofErr w:type="spellEnd"/>
            <w:r w:rsidRPr="00076502">
              <w:t>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3" w:name="n151"/>
            <w:bookmarkEnd w:id="3"/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гострі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інфекційні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захворювання</w:t>
            </w:r>
            <w:proofErr w:type="spellEnd"/>
            <w:r w:rsidRPr="00076502">
              <w:t>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4" w:name="n152"/>
            <w:bookmarkEnd w:id="4"/>
            <w:r w:rsidRPr="00076502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 w:rsidRPr="00076502">
              <w:t>бактеріоносійство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дифтерії</w:t>
            </w:r>
            <w:proofErr w:type="spellEnd"/>
            <w:r w:rsidRPr="00076502">
              <w:t xml:space="preserve">, </w:t>
            </w:r>
            <w:proofErr w:type="spellStart"/>
            <w:r w:rsidRPr="00076502">
              <w:t>стафілококу</w:t>
            </w:r>
            <w:proofErr w:type="spellEnd"/>
            <w:r w:rsidRPr="00076502">
              <w:t xml:space="preserve">, </w:t>
            </w:r>
            <w:proofErr w:type="spellStart"/>
            <w:r w:rsidRPr="00076502">
              <w:t>черевного</w:t>
            </w:r>
            <w:proofErr w:type="spellEnd"/>
            <w:r w:rsidRPr="00076502">
              <w:t xml:space="preserve"> тифу, </w:t>
            </w:r>
            <w:proofErr w:type="spellStart"/>
            <w:r w:rsidRPr="00076502">
              <w:t>паратифів</w:t>
            </w:r>
            <w:proofErr w:type="spellEnd"/>
            <w:r w:rsidRPr="00076502">
              <w:t xml:space="preserve"> А та В;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5" w:name="n153"/>
            <w:bookmarkEnd w:id="5"/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венеричні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захворювання</w:t>
            </w:r>
            <w:proofErr w:type="spellEnd"/>
            <w:r w:rsidRPr="00076502">
              <w:t xml:space="preserve"> (</w:t>
            </w:r>
            <w:proofErr w:type="spellStart"/>
            <w:r w:rsidRPr="00076502">
              <w:t>крім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клінічно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вилікуваних</w:t>
            </w:r>
            <w:proofErr w:type="spellEnd"/>
            <w:r w:rsidRPr="00076502">
              <w:t xml:space="preserve"> та </w:t>
            </w:r>
            <w:proofErr w:type="spellStart"/>
            <w:r w:rsidRPr="00076502">
              <w:t>зняття</w:t>
            </w:r>
            <w:proofErr w:type="spellEnd"/>
            <w:r w:rsidRPr="00076502">
              <w:t xml:space="preserve"> з </w:t>
            </w:r>
            <w:proofErr w:type="spellStart"/>
            <w:r w:rsidRPr="00076502">
              <w:t>обліку</w:t>
            </w:r>
            <w:proofErr w:type="spellEnd"/>
            <w:r w:rsidRPr="00076502">
              <w:t>);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6" w:name="n154"/>
            <w:bookmarkEnd w:id="6"/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хронічний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алкоголізм</w:t>
            </w:r>
            <w:proofErr w:type="spellEnd"/>
            <w:r w:rsidRPr="00076502">
              <w:t xml:space="preserve">, </w:t>
            </w:r>
            <w:proofErr w:type="spellStart"/>
            <w:r w:rsidRPr="00076502">
              <w:t>наркоманія</w:t>
            </w:r>
            <w:proofErr w:type="spellEnd"/>
            <w:r w:rsidRPr="00076502">
              <w:t xml:space="preserve">, </w:t>
            </w:r>
            <w:proofErr w:type="spellStart"/>
            <w:r w:rsidRPr="00076502">
              <w:t>токсикоманія</w:t>
            </w:r>
            <w:proofErr w:type="spellEnd"/>
            <w:r w:rsidRPr="00076502">
              <w:t>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7" w:name="n155"/>
            <w:bookmarkEnd w:id="7"/>
            <w:r w:rsidRPr="00076502">
              <w:rPr>
                <w:lang w:val="uk-UA"/>
              </w:rPr>
              <w:t xml:space="preserve">– </w:t>
            </w:r>
            <w:proofErr w:type="spellStart"/>
            <w:r w:rsidRPr="00076502">
              <w:t>хвороби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системи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крові</w:t>
            </w:r>
            <w:proofErr w:type="spellEnd"/>
            <w:r w:rsidRPr="00076502">
              <w:t xml:space="preserve"> (</w:t>
            </w:r>
            <w:proofErr w:type="spellStart"/>
            <w:r w:rsidRPr="00076502">
              <w:t>лімфогранулематоз</w:t>
            </w:r>
            <w:proofErr w:type="spellEnd"/>
            <w:r w:rsidRPr="00076502">
              <w:t xml:space="preserve">) та </w:t>
            </w:r>
            <w:proofErr w:type="spellStart"/>
            <w:r w:rsidRPr="00076502">
              <w:t>інші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захворювання</w:t>
            </w:r>
            <w:proofErr w:type="spellEnd"/>
            <w:r w:rsidRPr="00076502">
              <w:t xml:space="preserve">, </w:t>
            </w:r>
            <w:proofErr w:type="spellStart"/>
            <w:r w:rsidRPr="00076502">
              <w:t>що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потребують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постійної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терапії</w:t>
            </w:r>
            <w:proofErr w:type="spellEnd"/>
            <w:r w:rsidRPr="00076502">
              <w:t xml:space="preserve"> в </w:t>
            </w:r>
            <w:proofErr w:type="spellStart"/>
            <w:r w:rsidRPr="00076502">
              <w:t>спеціалізованих</w:t>
            </w:r>
            <w:proofErr w:type="spellEnd"/>
            <w:r w:rsidRPr="00076502">
              <w:t xml:space="preserve"> закладах </w:t>
            </w:r>
            <w:proofErr w:type="spellStart"/>
            <w:r w:rsidRPr="00076502">
              <w:t>охорони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здоров’я</w:t>
            </w:r>
            <w:proofErr w:type="spellEnd"/>
            <w:r w:rsidRPr="00076502">
              <w:t>;</w:t>
            </w:r>
          </w:p>
          <w:p w:rsidR="00035BDE" w:rsidRPr="00076502" w:rsidRDefault="00035BDE" w:rsidP="00035BDE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bookmarkStart w:id="8" w:name="n156"/>
            <w:bookmarkEnd w:id="8"/>
            <w:r w:rsidRPr="00076502">
              <w:rPr>
                <w:lang w:val="uk-UA"/>
              </w:rPr>
              <w:t xml:space="preserve">– </w:t>
            </w:r>
            <w:r w:rsidRPr="00076502">
              <w:t>ВІЛ-</w:t>
            </w:r>
            <w:proofErr w:type="spellStart"/>
            <w:r w:rsidRPr="00076502">
              <w:t>інфекція</w:t>
            </w:r>
            <w:proofErr w:type="spellEnd"/>
            <w:r w:rsidRPr="00076502">
              <w:t xml:space="preserve"> в IV </w:t>
            </w:r>
            <w:proofErr w:type="spellStart"/>
            <w:r w:rsidRPr="00076502">
              <w:t>клінічній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стадії</w:t>
            </w:r>
            <w:proofErr w:type="spellEnd"/>
            <w:r w:rsidRPr="00076502">
              <w:t xml:space="preserve"> з </w:t>
            </w:r>
            <w:proofErr w:type="spellStart"/>
            <w:r w:rsidRPr="00076502">
              <w:t>легеневим</w:t>
            </w:r>
            <w:proofErr w:type="spellEnd"/>
            <w:r w:rsidRPr="00076502">
              <w:t xml:space="preserve"> </w:t>
            </w:r>
            <w:proofErr w:type="spellStart"/>
            <w:r w:rsidRPr="00076502">
              <w:t>туберкульозом</w:t>
            </w:r>
            <w:proofErr w:type="spellEnd"/>
            <w:r w:rsidRPr="00076502">
              <w:t xml:space="preserve"> з </w:t>
            </w:r>
            <w:proofErr w:type="spellStart"/>
            <w:r w:rsidRPr="00076502">
              <w:t>позитивним</w:t>
            </w:r>
            <w:proofErr w:type="spellEnd"/>
            <w:r w:rsidRPr="00076502">
              <w:t xml:space="preserve"> результатом </w:t>
            </w:r>
            <w:proofErr w:type="spellStart"/>
            <w:r w:rsidRPr="00076502">
              <w:t>дослідження</w:t>
            </w:r>
            <w:proofErr w:type="spellEnd"/>
            <w:r w:rsidRPr="00076502">
              <w:t xml:space="preserve"> мазка </w:t>
            </w:r>
            <w:proofErr w:type="spellStart"/>
            <w:r w:rsidRPr="00076502">
              <w:t>мокротиння</w:t>
            </w:r>
            <w:proofErr w:type="spellEnd"/>
            <w:r w:rsidRPr="00076502">
              <w:t xml:space="preserve"> методом </w:t>
            </w:r>
            <w:proofErr w:type="spellStart"/>
            <w:r w:rsidRPr="00076502">
              <w:t>бактеріоскопії</w:t>
            </w:r>
            <w:proofErr w:type="spellEnd"/>
            <w:r w:rsidRPr="00076502">
              <w:t>.</w:t>
            </w:r>
          </w:p>
          <w:p w:rsidR="00035BDE" w:rsidRPr="003D64E6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місця проживання.</w:t>
            </w:r>
          </w:p>
          <w:p w:rsidR="00035BDE" w:rsidRPr="003D64E6" w:rsidRDefault="00035BDE" w:rsidP="00035BDE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стану здоров’я.</w:t>
            </w:r>
          </w:p>
          <w:p w:rsidR="005C5697" w:rsidRPr="00E3191A" w:rsidRDefault="00035BDE" w:rsidP="00035BDE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highlight w:val="yellow"/>
                <w:lang w:val="uk-UA" w:eastAsia="en-US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від послуг.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99253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92533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1" w:type="dxa"/>
            <w:gridSpan w:val="2"/>
          </w:tcPr>
          <w:p w:rsidR="005C5697" w:rsidRPr="0099253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92533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764" w:type="dxa"/>
          </w:tcPr>
          <w:p w:rsidR="005C5697" w:rsidRPr="00E3191A" w:rsidRDefault="00992533" w:rsidP="00E55B32">
            <w:pPr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3D64E6">
              <w:rPr>
                <w:sz w:val="24"/>
                <w:szCs w:val="24"/>
              </w:rPr>
              <w:t>Видача путівки на влаштування до геріатричного будинку-інтернату/Обласного пансіонату.</w:t>
            </w:r>
          </w:p>
        </w:tc>
      </w:tr>
      <w:tr w:rsidR="005C5697" w:rsidRPr="00E3191A" w:rsidTr="00B41B31">
        <w:trPr>
          <w:trHeight w:val="70"/>
          <w:jc w:val="center"/>
        </w:trPr>
        <w:tc>
          <w:tcPr>
            <w:tcW w:w="696" w:type="dxa"/>
          </w:tcPr>
          <w:p w:rsidR="005C5697" w:rsidRPr="0099253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92533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1" w:type="dxa"/>
            <w:gridSpan w:val="2"/>
          </w:tcPr>
          <w:p w:rsidR="005C5697" w:rsidRPr="0099253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92533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764" w:type="dxa"/>
          </w:tcPr>
          <w:p w:rsidR="005C5697" w:rsidRPr="00992533" w:rsidRDefault="001759AE" w:rsidP="00E55B32">
            <w:pPr>
              <w:rPr>
                <w:iCs/>
                <w:sz w:val="24"/>
                <w:szCs w:val="24"/>
                <w:lang w:eastAsia="en-US"/>
              </w:rPr>
            </w:pPr>
            <w:r w:rsidRPr="00992533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55B32" w:rsidTr="00B41B31">
        <w:trPr>
          <w:jc w:val="center"/>
        </w:trPr>
        <w:tc>
          <w:tcPr>
            <w:tcW w:w="696" w:type="dxa"/>
          </w:tcPr>
          <w:p w:rsidR="005C5697" w:rsidRPr="0099253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92533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1" w:type="dxa"/>
            <w:gridSpan w:val="2"/>
          </w:tcPr>
          <w:p w:rsidR="005C5697" w:rsidRPr="0099253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92533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764" w:type="dxa"/>
          </w:tcPr>
          <w:p w:rsidR="005C5697" w:rsidRPr="00992533" w:rsidRDefault="00992533" w:rsidP="00EC28F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92533">
              <w:rPr>
                <w:iCs/>
                <w:sz w:val="24"/>
                <w:szCs w:val="24"/>
                <w:lang w:eastAsia="en-US"/>
              </w:rPr>
              <w:t>Органи</w:t>
            </w:r>
            <w:r w:rsidRPr="00992533">
              <w:rPr>
                <w:sz w:val="24"/>
                <w:szCs w:val="24"/>
              </w:rPr>
              <w:t xml:space="preserve"> соціального захисту населення територіальних громад сприяють громадянам в оформленні документів</w:t>
            </w:r>
            <w:r w:rsidR="00EC28F5" w:rsidRPr="00992533">
              <w:rPr>
                <w:iCs/>
                <w:sz w:val="24"/>
                <w:szCs w:val="24"/>
                <w:lang w:eastAsia="en-US"/>
              </w:rPr>
              <w:t xml:space="preserve"> та готують клопотання.</w:t>
            </w:r>
          </w:p>
        </w:tc>
      </w:tr>
    </w:tbl>
    <w:p w:rsidR="005C5697" w:rsidRDefault="005C5697" w:rsidP="00E55B32">
      <w:pPr>
        <w:jc w:val="center"/>
      </w:pPr>
    </w:p>
    <w:sectPr w:rsidR="005C5697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FE1DD5"/>
    <w:multiLevelType w:val="hybridMultilevel"/>
    <w:tmpl w:val="A4FE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747282A"/>
    <w:multiLevelType w:val="hybridMultilevel"/>
    <w:tmpl w:val="C994B66E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9A6BD0">
      <w:start w:val="18"/>
      <w:numFmt w:val="bullet"/>
      <w:lvlText w:val="–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3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1"/>
  </w:num>
  <w:num w:numId="6">
    <w:abstractNumId w:val="8"/>
  </w:num>
  <w:num w:numId="7">
    <w:abstractNumId w:val="4"/>
  </w:num>
  <w:num w:numId="8">
    <w:abstractNumId w:val="14"/>
  </w:num>
  <w:num w:numId="9">
    <w:abstractNumId w:val="2"/>
  </w:num>
  <w:num w:numId="10">
    <w:abstractNumId w:val="17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10"/>
  </w:num>
  <w:num w:numId="17">
    <w:abstractNumId w:val="19"/>
  </w:num>
  <w:num w:numId="18">
    <w:abstractNumId w:val="16"/>
  </w:num>
  <w:num w:numId="19">
    <w:abstractNumId w:val="22"/>
  </w:num>
  <w:num w:numId="20">
    <w:abstractNumId w:val="20"/>
  </w:num>
  <w:num w:numId="21">
    <w:abstractNumId w:val="12"/>
  </w:num>
  <w:num w:numId="22">
    <w:abstractNumId w:val="18"/>
  </w:num>
  <w:num w:numId="23">
    <w:abstractNumId w:val="11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12856"/>
    <w:rsid w:val="00016741"/>
    <w:rsid w:val="000257DD"/>
    <w:rsid w:val="00035BDE"/>
    <w:rsid w:val="00037FE6"/>
    <w:rsid w:val="00041265"/>
    <w:rsid w:val="00045C76"/>
    <w:rsid w:val="00046CD5"/>
    <w:rsid w:val="0004790F"/>
    <w:rsid w:val="000544FB"/>
    <w:rsid w:val="00054A36"/>
    <w:rsid w:val="00056EE2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C5A4B"/>
    <w:rsid w:val="000D22C7"/>
    <w:rsid w:val="000D54F0"/>
    <w:rsid w:val="000D741B"/>
    <w:rsid w:val="000E1F85"/>
    <w:rsid w:val="000E385E"/>
    <w:rsid w:val="000F04AD"/>
    <w:rsid w:val="000F12AE"/>
    <w:rsid w:val="000F4ED2"/>
    <w:rsid w:val="00102E2D"/>
    <w:rsid w:val="001039C4"/>
    <w:rsid w:val="00103F77"/>
    <w:rsid w:val="0011313D"/>
    <w:rsid w:val="001202C9"/>
    <w:rsid w:val="001247A0"/>
    <w:rsid w:val="001252D7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759AE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2700C"/>
    <w:rsid w:val="00236F33"/>
    <w:rsid w:val="00253217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1E14"/>
    <w:rsid w:val="002F7B88"/>
    <w:rsid w:val="003033BE"/>
    <w:rsid w:val="00310631"/>
    <w:rsid w:val="0031625A"/>
    <w:rsid w:val="00336C70"/>
    <w:rsid w:val="00341AC4"/>
    <w:rsid w:val="00342D98"/>
    <w:rsid w:val="00345D0B"/>
    <w:rsid w:val="00361343"/>
    <w:rsid w:val="00361AFF"/>
    <w:rsid w:val="003715EF"/>
    <w:rsid w:val="003740EC"/>
    <w:rsid w:val="00374B7F"/>
    <w:rsid w:val="00381C49"/>
    <w:rsid w:val="003825BC"/>
    <w:rsid w:val="00382DDE"/>
    <w:rsid w:val="00383202"/>
    <w:rsid w:val="0038360F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B73D4"/>
    <w:rsid w:val="004C1FA5"/>
    <w:rsid w:val="004C4304"/>
    <w:rsid w:val="004D1028"/>
    <w:rsid w:val="004D3EDF"/>
    <w:rsid w:val="004E1989"/>
    <w:rsid w:val="004F19ED"/>
    <w:rsid w:val="004F3DBB"/>
    <w:rsid w:val="0050199F"/>
    <w:rsid w:val="005157B0"/>
    <w:rsid w:val="00523097"/>
    <w:rsid w:val="005230A3"/>
    <w:rsid w:val="00527FCB"/>
    <w:rsid w:val="00531D7D"/>
    <w:rsid w:val="00550F2A"/>
    <w:rsid w:val="005524D5"/>
    <w:rsid w:val="005627D0"/>
    <w:rsid w:val="00565A3A"/>
    <w:rsid w:val="0056718F"/>
    <w:rsid w:val="00592BAD"/>
    <w:rsid w:val="00595700"/>
    <w:rsid w:val="005A2F4F"/>
    <w:rsid w:val="005A72A3"/>
    <w:rsid w:val="005B14D6"/>
    <w:rsid w:val="005B7D86"/>
    <w:rsid w:val="005C152F"/>
    <w:rsid w:val="005C3EC6"/>
    <w:rsid w:val="005C5697"/>
    <w:rsid w:val="005C7853"/>
    <w:rsid w:val="005D0BAD"/>
    <w:rsid w:val="005D47B3"/>
    <w:rsid w:val="005F1E7C"/>
    <w:rsid w:val="005F21F6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C3852"/>
    <w:rsid w:val="006D7E02"/>
    <w:rsid w:val="006E39D2"/>
    <w:rsid w:val="006E7F11"/>
    <w:rsid w:val="007016F6"/>
    <w:rsid w:val="00705B0C"/>
    <w:rsid w:val="0072255E"/>
    <w:rsid w:val="00726A7B"/>
    <w:rsid w:val="00732B07"/>
    <w:rsid w:val="00736813"/>
    <w:rsid w:val="007407BF"/>
    <w:rsid w:val="00743202"/>
    <w:rsid w:val="007514E2"/>
    <w:rsid w:val="00753B4E"/>
    <w:rsid w:val="00756F37"/>
    <w:rsid w:val="00763E59"/>
    <w:rsid w:val="00767053"/>
    <w:rsid w:val="007811D0"/>
    <w:rsid w:val="00785535"/>
    <w:rsid w:val="0078584C"/>
    <w:rsid w:val="00786A9E"/>
    <w:rsid w:val="00797A1E"/>
    <w:rsid w:val="007B060A"/>
    <w:rsid w:val="007B326D"/>
    <w:rsid w:val="007B7896"/>
    <w:rsid w:val="007C42FD"/>
    <w:rsid w:val="007C46CC"/>
    <w:rsid w:val="007D4BE4"/>
    <w:rsid w:val="007D5D95"/>
    <w:rsid w:val="007D70B4"/>
    <w:rsid w:val="007E7A61"/>
    <w:rsid w:val="007F613A"/>
    <w:rsid w:val="007F76AE"/>
    <w:rsid w:val="008053F7"/>
    <w:rsid w:val="008145B2"/>
    <w:rsid w:val="00814BC1"/>
    <w:rsid w:val="00820ADF"/>
    <w:rsid w:val="008233FE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05B7"/>
    <w:rsid w:val="008C57DB"/>
    <w:rsid w:val="008D13A9"/>
    <w:rsid w:val="008E0FB7"/>
    <w:rsid w:val="008F4BDD"/>
    <w:rsid w:val="009023A1"/>
    <w:rsid w:val="00903354"/>
    <w:rsid w:val="00905167"/>
    <w:rsid w:val="00905F2B"/>
    <w:rsid w:val="00913C84"/>
    <w:rsid w:val="009247F0"/>
    <w:rsid w:val="00933757"/>
    <w:rsid w:val="00933F97"/>
    <w:rsid w:val="00935569"/>
    <w:rsid w:val="009460B0"/>
    <w:rsid w:val="0095110F"/>
    <w:rsid w:val="00951C6D"/>
    <w:rsid w:val="00951FF9"/>
    <w:rsid w:val="0095307A"/>
    <w:rsid w:val="00955C62"/>
    <w:rsid w:val="00981C9B"/>
    <w:rsid w:val="00981F4F"/>
    <w:rsid w:val="00986456"/>
    <w:rsid w:val="00987E0B"/>
    <w:rsid w:val="00990343"/>
    <w:rsid w:val="00992533"/>
    <w:rsid w:val="009959E7"/>
    <w:rsid w:val="009B419B"/>
    <w:rsid w:val="009B4295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5DB8"/>
    <w:rsid w:val="00A066F0"/>
    <w:rsid w:val="00A0724C"/>
    <w:rsid w:val="00A14258"/>
    <w:rsid w:val="00A14B54"/>
    <w:rsid w:val="00A243E6"/>
    <w:rsid w:val="00A34B91"/>
    <w:rsid w:val="00A413DF"/>
    <w:rsid w:val="00A62CB5"/>
    <w:rsid w:val="00A647DF"/>
    <w:rsid w:val="00A674AC"/>
    <w:rsid w:val="00A74A04"/>
    <w:rsid w:val="00A82AC5"/>
    <w:rsid w:val="00A87BA9"/>
    <w:rsid w:val="00A941EC"/>
    <w:rsid w:val="00AA1320"/>
    <w:rsid w:val="00AA150D"/>
    <w:rsid w:val="00AA3EE3"/>
    <w:rsid w:val="00AB0F84"/>
    <w:rsid w:val="00AB2E5F"/>
    <w:rsid w:val="00AB3035"/>
    <w:rsid w:val="00AC2FE1"/>
    <w:rsid w:val="00AC392F"/>
    <w:rsid w:val="00AC7CF8"/>
    <w:rsid w:val="00AD07DA"/>
    <w:rsid w:val="00AD28BF"/>
    <w:rsid w:val="00AD54CF"/>
    <w:rsid w:val="00AE4EE6"/>
    <w:rsid w:val="00B16544"/>
    <w:rsid w:val="00B22906"/>
    <w:rsid w:val="00B23E22"/>
    <w:rsid w:val="00B243F8"/>
    <w:rsid w:val="00B26C6B"/>
    <w:rsid w:val="00B41B31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90FA2"/>
    <w:rsid w:val="00BA3F14"/>
    <w:rsid w:val="00BA66D4"/>
    <w:rsid w:val="00BB26DC"/>
    <w:rsid w:val="00BB4AFD"/>
    <w:rsid w:val="00BB5686"/>
    <w:rsid w:val="00BC05B5"/>
    <w:rsid w:val="00BC175E"/>
    <w:rsid w:val="00BC40C9"/>
    <w:rsid w:val="00BC4BFE"/>
    <w:rsid w:val="00BC54FF"/>
    <w:rsid w:val="00C03AB8"/>
    <w:rsid w:val="00C20F62"/>
    <w:rsid w:val="00C30C3B"/>
    <w:rsid w:val="00C34757"/>
    <w:rsid w:val="00C418E9"/>
    <w:rsid w:val="00C4346B"/>
    <w:rsid w:val="00C44532"/>
    <w:rsid w:val="00C57FA8"/>
    <w:rsid w:val="00C61678"/>
    <w:rsid w:val="00C65965"/>
    <w:rsid w:val="00C7048D"/>
    <w:rsid w:val="00C70E44"/>
    <w:rsid w:val="00C74911"/>
    <w:rsid w:val="00C75995"/>
    <w:rsid w:val="00C80ABA"/>
    <w:rsid w:val="00C82A3E"/>
    <w:rsid w:val="00CA2B04"/>
    <w:rsid w:val="00CB1E29"/>
    <w:rsid w:val="00CB578E"/>
    <w:rsid w:val="00CC1273"/>
    <w:rsid w:val="00CD2417"/>
    <w:rsid w:val="00CD79F5"/>
    <w:rsid w:val="00CE4EA1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1F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E12C9"/>
    <w:rsid w:val="00DE55A2"/>
    <w:rsid w:val="00DE65CA"/>
    <w:rsid w:val="00E00628"/>
    <w:rsid w:val="00E01B9C"/>
    <w:rsid w:val="00E03E80"/>
    <w:rsid w:val="00E04A27"/>
    <w:rsid w:val="00E1193D"/>
    <w:rsid w:val="00E15696"/>
    <w:rsid w:val="00E21F3E"/>
    <w:rsid w:val="00E3191A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92AB5"/>
    <w:rsid w:val="00E953B0"/>
    <w:rsid w:val="00EA2E80"/>
    <w:rsid w:val="00EA77FB"/>
    <w:rsid w:val="00EB1405"/>
    <w:rsid w:val="00EB581E"/>
    <w:rsid w:val="00EC16B4"/>
    <w:rsid w:val="00EC28F5"/>
    <w:rsid w:val="00EC3473"/>
    <w:rsid w:val="00ED0297"/>
    <w:rsid w:val="00ED2B62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6520"/>
    <w:rsid w:val="00FA6FEB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99835A-410E-4354-BF82-7A6D911F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5D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t.vmr.gov.ua/Lists/TransparentOffice/ShowContent.aspx?ID=21" TargetMode="External"/><Relationship Id="rId3" Type="http://schemas.openxmlformats.org/officeDocument/2006/relationships/styles" Target="styles.xml"/><Relationship Id="rId7" Type="http://schemas.openxmlformats.org/officeDocument/2006/relationships/hyperlink" Target="http://transparent.vmr.gov.ua/Lists/TransparentOffice/ShowContent.aspx?ID=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ansparent.vmr.gov.ua/Lists/TransparentOffice/ShowContent.aspx?ID=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@v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0EF2-AEDA-4048-A86A-CD786CD6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7312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</cp:revision>
  <cp:lastPrinted>2021-08-04T05:52:00Z</cp:lastPrinted>
  <dcterms:created xsi:type="dcterms:W3CDTF">2026-02-26T14:21:00Z</dcterms:created>
  <dcterms:modified xsi:type="dcterms:W3CDTF">2026-02-26T14:21:00Z</dcterms:modified>
</cp:coreProperties>
</file>